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hint="eastAsia" w:ascii="Arial" w:hAnsi="Arial" w:cs="Arial"/>
          <w:b/>
          <w:bCs/>
          <w:kern w:val="0"/>
          <w:sz w:val="28"/>
          <w:szCs w:val="28"/>
          <w:lang w:val="en-US" w:eastAsia="zh-CN"/>
        </w:rPr>
        <w:t>102</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hint="eastAsia" w:ascii="Arial" w:hAnsi="Arial" w:cs="Arial"/>
          <w:b/>
          <w:bCs/>
          <w:kern w:val="0"/>
          <w:sz w:val="28"/>
          <w:szCs w:val="28"/>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8"/>
          <w:szCs w:val="28"/>
        </w:rPr>
        <w:t xml:space="preserve"> </w:t>
      </w:r>
      <w:r>
        <w:rPr>
          <w:rFonts w:hint="eastAsia" w:ascii="Arial" w:hAnsi="Arial" w:cs="Arial"/>
          <w:b/>
          <w:bCs/>
          <w:kern w:val="0"/>
          <w:sz w:val="28"/>
          <w:szCs w:val="28"/>
          <w:lang w:val="en-GB"/>
        </w:rPr>
        <w:t>R2-1</w:t>
      </w:r>
      <w:r>
        <w:rPr>
          <w:rFonts w:hint="eastAsia" w:ascii="Arial" w:hAnsi="Arial" w:cs="Arial"/>
          <w:b/>
          <w:bCs/>
          <w:kern w:val="0"/>
          <w:sz w:val="28"/>
          <w:szCs w:val="28"/>
        </w:rPr>
        <w:t>80</w:t>
      </w:r>
      <w:r>
        <w:rPr>
          <w:rFonts w:hint="eastAsia" w:ascii="Arial" w:hAnsi="Arial" w:cs="Arial"/>
          <w:b/>
          <w:bCs/>
          <w:kern w:val="0"/>
          <w:sz w:val="28"/>
          <w:szCs w:val="28"/>
          <w:lang w:val="en-US" w:eastAsia="zh-CN"/>
        </w:rPr>
        <w:t>7736</w:t>
      </w:r>
    </w:p>
    <w:p>
      <w:pPr>
        <w:overflowPunct w:val="0"/>
        <w:autoSpaceDE w:val="0"/>
        <w:autoSpaceDN w:val="0"/>
        <w:adjustRightInd w:val="0"/>
        <w:snapToGrid w:val="0"/>
        <w:spacing w:before="156"/>
        <w:jc w:val="left"/>
        <w:textAlignment w:val="baseline"/>
        <w:rPr>
          <w:rFonts w:hint="eastAsia" w:ascii="Arial" w:hAnsi="Arial" w:cs="Arial"/>
          <w:b/>
          <w:bCs/>
          <w:kern w:val="0"/>
          <w:sz w:val="28"/>
          <w:szCs w:val="28"/>
          <w:lang w:val="en-GB"/>
        </w:rPr>
      </w:pPr>
      <w:r>
        <w:rPr>
          <w:rFonts w:hint="eastAsia" w:ascii="Arial" w:hAnsi="Arial" w:cs="Arial"/>
          <w:b/>
          <w:bCs/>
          <w:kern w:val="0"/>
          <w:sz w:val="28"/>
          <w:szCs w:val="28"/>
          <w:lang w:val="en-US" w:eastAsia="zh-CN"/>
        </w:rPr>
        <w:t>Busan</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Korea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20</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25</w:t>
      </w:r>
      <w:r>
        <w:rPr>
          <w:rFonts w:hint="eastAsia" w:ascii="Arial" w:hAnsi="Arial" w:cs="Arial"/>
          <w:b/>
          <w:bCs/>
          <w:kern w:val="0"/>
          <w:sz w:val="28"/>
          <w:szCs w:val="28"/>
          <w:vertAlign w:val="superscript"/>
          <w:lang w:val="en-US" w:eastAsia="zh-CN"/>
        </w:rPr>
        <w:t>th</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May</w:t>
      </w:r>
      <w:r>
        <w:rPr>
          <w:rFonts w:hint="eastAsia" w:ascii="Arial" w:hAnsi="Arial" w:cs="Arial"/>
          <w:b/>
          <w:bCs/>
          <w:kern w:val="0"/>
          <w:sz w:val="28"/>
          <w:szCs w:val="28"/>
          <w:lang w:val="en-GB"/>
        </w:rPr>
        <w:t xml:space="preserve"> 2018 </w:t>
      </w:r>
      <w:r>
        <w:rPr>
          <w:rFonts w:hint="eastAsia" w:ascii="Arial" w:hAnsi="Arial" w:cs="Arial"/>
          <w:b/>
          <w:bCs/>
          <w:kern w:val="0"/>
          <w:sz w:val="28"/>
          <w:szCs w:val="28"/>
          <w:lang w:val="en-US" w:eastAsia="zh-CN"/>
        </w:rPr>
        <w:t xml:space="preserve">             </w:t>
      </w:r>
      <w:r>
        <w:rPr>
          <w:rFonts w:hint="eastAsia" w:ascii="Arial" w:hAnsi="Arial" w:cs="Arial"/>
          <w:b/>
          <w:bCs/>
          <w:kern w:val="0"/>
          <w:sz w:val="22"/>
          <w:szCs w:val="22"/>
          <w:lang w:val="en-US" w:eastAsia="zh-CN"/>
        </w:rPr>
        <w:t xml:space="preserve"> </w:t>
      </w:r>
      <w:r>
        <w:rPr>
          <w:rFonts w:hint="eastAsia" w:ascii="Arial" w:hAnsi="Arial" w:cs="Arial"/>
          <w:b/>
          <w:bCs/>
          <w:color w:val="58595B" w:themeColor="background2"/>
          <w:kern w:val="0"/>
          <w:sz w:val="22"/>
          <w:szCs w:val="22"/>
          <w:lang w:val="en-US" w:eastAsia="zh-CN"/>
          <w14:textFill>
            <w14:solidFill>
              <w14:schemeClr w14:val="bg2"/>
            </w14:solidFill>
          </w14:textFill>
        </w:rPr>
        <w:t>(re-submission of R2-1804398)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Corporation</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Measurement and gap configuration framework in NE-DC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10.2.7</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 xml:space="preserve">For EN-DC, RAN2 made a lot of progress on measurement configuration &amp;coordination as well as gap configuration &amp;coordination, we summarized as below, in this contribution, we provide more views on NE-DC case.  </w:t>
      </w:r>
    </w:p>
    <w:p>
      <w:pPr>
        <w:numPr>
          <w:ilvl w:val="0"/>
          <w:numId w:val="4"/>
        </w:numPr>
        <w:spacing w:before="156"/>
        <w:ind w:left="420" w:leftChars="0" w:hanging="420" w:firstLineChars="0"/>
        <w:rPr>
          <w:rFonts w:hint="eastAsia"/>
          <w:lang w:val="en-US" w:eastAsia="zh-CN"/>
        </w:rPr>
      </w:pPr>
      <w:r>
        <w:rPr>
          <w:rFonts w:hint="eastAsia"/>
          <w:lang w:val="en-US" w:eastAsia="zh-CN"/>
        </w:rPr>
        <w:t>Measurement configuration and reporting: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supports B1 and B2 event measurement on NR frequencies;</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only support SSB based NR measurement, doesn</w:t>
      </w:r>
      <w:r>
        <w:rPr>
          <w:rFonts w:hint="default"/>
          <w:lang w:val="en-US" w:eastAsia="zh-CN"/>
        </w:rPr>
        <w:t>’</w:t>
      </w:r>
      <w:r>
        <w:rPr>
          <w:rFonts w:hint="eastAsia"/>
          <w:lang w:val="en-US" w:eastAsia="zh-CN"/>
        </w:rPr>
        <w:t>t support CSI-RS based NR measurement;</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SN(NR) can only configure intra-RAT measurement, doesn</w:t>
      </w:r>
      <w:r>
        <w:rPr>
          <w:rFonts w:hint="default"/>
          <w:lang w:val="en-US" w:eastAsia="zh-CN"/>
        </w:rPr>
        <w:t>’</w:t>
      </w:r>
      <w:r>
        <w:rPr>
          <w:rFonts w:hint="eastAsia"/>
          <w:lang w:val="en-US" w:eastAsia="zh-CN"/>
        </w:rPr>
        <w:t xml:space="preserve">t support inter-RAT measurement;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The measure results of NR serving cell and best neighbour cells can be included in MN(LTE) A3/A4/A5 events and B1/B2 events reporting.</w:t>
      </w:r>
    </w:p>
    <w:p>
      <w:pPr>
        <w:numPr>
          <w:ilvl w:val="0"/>
          <w:numId w:val="4"/>
        </w:numPr>
        <w:spacing w:before="156"/>
        <w:ind w:left="420" w:leftChars="0" w:hanging="420" w:firstLineChars="0"/>
        <w:rPr>
          <w:rFonts w:hint="eastAsia"/>
          <w:lang w:val="en-US" w:eastAsia="zh-CN"/>
        </w:rPr>
      </w:pPr>
      <w:r>
        <w:rPr>
          <w:rFonts w:hint="eastAsia"/>
          <w:lang w:val="en-US" w:eastAsia="zh-CN"/>
        </w:rPr>
        <w:t>Measurement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indicates the number of frequency layers that can be used in the SN;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Re-negotiation (SN signaling to MN for the purpose to ask for more number of frequency layer) is not supported (at least in Rel-15).  </w:t>
      </w:r>
    </w:p>
    <w:p>
      <w:pPr>
        <w:numPr>
          <w:ilvl w:val="0"/>
          <w:numId w:val="4"/>
        </w:numPr>
        <w:spacing w:before="156"/>
        <w:ind w:left="420" w:leftChars="0" w:hanging="420" w:firstLineChars="0"/>
        <w:rPr>
          <w:rFonts w:hint="eastAsia"/>
          <w:lang w:val="en-US" w:eastAsia="zh-CN"/>
        </w:rPr>
      </w:pPr>
      <w:r>
        <w:rPr>
          <w:rFonts w:hint="eastAsia"/>
          <w:lang w:val="en-US" w:eastAsia="zh-CN"/>
        </w:rPr>
        <w:t>Gap configuration: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Per-UE gap or independent LTE/FR1 gap is configured by MN, and UE performs gap calculation based on the SFN and subframe of PCell;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Independent FR2 gap is configured by SN, and UE performs gap calculation based on the SFN and subframe of PSCell;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UE can report the gap capability to network. For independent gap capable UE, the network can configure either per-UE gap or per-FR gap, and MN indicates the used gap type in Uu interface. </w:t>
      </w:r>
    </w:p>
    <w:p>
      <w:pPr>
        <w:numPr>
          <w:ilvl w:val="0"/>
          <w:numId w:val="4"/>
        </w:numPr>
        <w:spacing w:before="156"/>
        <w:ind w:left="420" w:leftChars="0" w:hanging="420" w:firstLineChars="0"/>
        <w:rPr>
          <w:rFonts w:hint="eastAsia"/>
          <w:lang w:val="en-US" w:eastAsia="zh-CN"/>
        </w:rPr>
      </w:pPr>
      <w:r>
        <w:rPr>
          <w:rFonts w:hint="eastAsia"/>
          <w:lang w:val="en-US" w:eastAsia="zh-CN"/>
        </w:rPr>
        <w:t>Gap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or independent LTE/FR1 gap, MN transmit the gap pattern to SN via CG-ConfigInfo;</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if SN hasn</w:t>
      </w:r>
      <w:r>
        <w:rPr>
          <w:rFonts w:hint="default"/>
          <w:lang w:val="en-US" w:eastAsia="zh-CN"/>
        </w:rPr>
        <w:t>’</w:t>
      </w:r>
      <w:r>
        <w:rPr>
          <w:rFonts w:hint="eastAsia"/>
          <w:lang w:val="en-US" w:eastAsia="zh-CN"/>
        </w:rPr>
        <w:t xml:space="preserve">t received the gap pattern from MN, and SN wants to configure gap assisted FR1/FR2 measurements, SN can send the FR1/FR2 frequencies to MN via CG-Config;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independent LTE/FR1 gap, if SN hasn</w:t>
      </w:r>
      <w:r>
        <w:rPr>
          <w:rFonts w:hint="default"/>
          <w:lang w:val="en-US" w:eastAsia="zh-CN"/>
        </w:rPr>
        <w:t>’</w:t>
      </w:r>
      <w:r>
        <w:rPr>
          <w:rFonts w:hint="eastAsia"/>
          <w:lang w:val="en-US" w:eastAsia="zh-CN"/>
        </w:rPr>
        <w:t>t received the gap pattern from MN, and SN wants to configure gap assisted FR1 measurements, SN can send the FR1 frequencies to MN via CG-Config;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For independent FR2 gap, if MN wants to configure gap assisted FR2 measurements, MN can send the FR1 frequencies to SN via CG-ConfigInfo.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measurement framework</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eastAsiaTheme="minorEastAsia"/>
          <w:lang w:val="en-US" w:eastAsia="zh-CN"/>
        </w:rPr>
      </w:pPr>
      <w:r>
        <w:rPr>
          <w:rFonts w:hint="eastAsia"/>
          <w:lang w:val="en-US" w:eastAsia="zh-CN"/>
        </w:rPr>
        <w:t>The architecture of NE-DC is illustrated in figure1:</w:t>
      </w:r>
    </w:p>
    <w:p>
      <w:pPr>
        <w:jc w:val="center"/>
      </w:pPr>
      <w:r>
        <w:object>
          <v:shape id="_x0000_i1025" o:spt="75" type="#_x0000_t75" style="height:148.5pt;width:19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eastAsia" w:eastAsiaTheme="minorEastAsia"/>
          <w:lang w:val="en-US" w:eastAsia="zh-CN"/>
        </w:rPr>
      </w:pPr>
      <w:r>
        <w:rPr>
          <w:rFonts w:hint="eastAsia"/>
          <w:lang w:val="en-US" w:eastAsia="zh-CN"/>
        </w:rPr>
        <w:t>Figure1 Architecture of NE-DC</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study on the measurement framework in NE-DC, following attributions and principles can be taken into consideration:</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SRB3 is not supported in NE-DC;</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MN(i.e. NR) may operate in the higher spectrum, while SN(i.e. LTE) may operate in the lower spectrum; </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The inter-node message between MN and SN will be defined in 36.331;</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RAN2 should try to minimize the impact on LTE specification.</w:t>
      </w:r>
    </w:p>
    <w:p>
      <w:pPr>
        <w:numPr>
          <w:ilvl w:val="0"/>
          <w:numId w:val="6"/>
        </w:numPr>
        <w:rPr>
          <w:b/>
          <w:bCs/>
          <w:sz w:val="22"/>
          <w:szCs w:val="28"/>
          <w:u w:val="single"/>
        </w:rPr>
      </w:pPr>
      <w:r>
        <w:rPr>
          <w:rFonts w:hint="eastAsia"/>
          <w:b/>
          <w:bCs/>
          <w:sz w:val="22"/>
          <w:szCs w:val="28"/>
          <w:u w:val="single"/>
          <w:lang w:val="en-US" w:eastAsia="zh-CN"/>
        </w:rPr>
        <w:t>Measurement configuration and reporting</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Although SRB3 is not supported in NE-DC, due to different RAT, in order to support flexible SCell addition/deletion in SN node, it make sense to support SN configured measurements. On the other hand, for MN operates in the higher spectrum and small coverage, PCell handover is likely to happen more frequently, to avoid throughput reduction, MN handover with SN keep/change should be supported in NE-DC, then the similar measurement reporting mechanism can be inherited.</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numPr>
          <w:ilvl w:val="0"/>
          <w:numId w:val="6"/>
        </w:numPr>
        <w:rPr>
          <w:b/>
          <w:bCs/>
          <w:sz w:val="22"/>
          <w:szCs w:val="28"/>
          <w:u w:val="single"/>
        </w:rPr>
      </w:pPr>
      <w:r>
        <w:rPr>
          <w:rFonts w:hint="eastAsia"/>
          <w:b/>
          <w:bCs/>
          <w:sz w:val="22"/>
          <w:szCs w:val="28"/>
          <w:u w:val="single"/>
          <w:lang w:val="en-US" w:eastAsia="zh-CN"/>
        </w:rPr>
        <w:t>Measurement coordination</w:t>
      </w:r>
    </w:p>
    <w:p>
      <w:pPr>
        <w:spacing w:before="156"/>
        <w:rPr>
          <w:rFonts w:hint="eastAsia"/>
          <w:lang w:val="en-US" w:eastAsia="zh-CN"/>
        </w:rPr>
      </w:pPr>
      <w:r>
        <w:rPr>
          <w:rFonts w:hint="eastAsia"/>
          <w:lang w:val="en-US" w:eastAsia="zh-CN"/>
        </w:rPr>
        <w:t>If proposal1 is adopted, measurement coordination mechanism is required to avoid the configured measurements exceeding UE capability, since inter-RAT measurement is not supported at SN side, we only need to coordinate the number of measured LTE frequencies configured from MN and SN. For simplicity, at least in R15, we can reuse the hard split solution as defined in EN-DC.</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gap configuration and coordination</w:t>
      </w:r>
    </w:p>
    <w:p>
      <w:pPr>
        <w:numPr>
          <w:ilvl w:val="0"/>
          <w:numId w:val="6"/>
        </w:numPr>
        <w:rPr>
          <w:b/>
          <w:bCs/>
          <w:sz w:val="22"/>
          <w:szCs w:val="28"/>
          <w:u w:val="single"/>
        </w:rPr>
      </w:pPr>
      <w:r>
        <w:rPr>
          <w:rFonts w:hint="eastAsia"/>
          <w:b/>
          <w:bCs/>
          <w:sz w:val="22"/>
          <w:szCs w:val="28"/>
          <w:u w:val="single"/>
          <w:lang w:val="en-US" w:eastAsia="zh-CN"/>
        </w:rPr>
        <w:t>Gap configuration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According to RAN4 LS[1], following gap patterns are defined for MR-DC case(not only EN-DC). </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 xml:space="preserve">Table 1 </w:t>
      </w:r>
      <w:r>
        <w:rPr>
          <w:snapToGrid w:val="0"/>
        </w:rPr>
        <w:t xml:space="preserve">Applicability for </w:t>
      </w:r>
      <w:r>
        <w:t xml:space="preserve">Gap Pattern Configurations supported by the </w:t>
      </w:r>
      <w:r>
        <w:rPr>
          <w:rFonts w:hint="eastAsia"/>
        </w:rPr>
        <w:t>E-UTRA-NR dual connectivity</w:t>
      </w:r>
      <w:r>
        <w:t xml:space="preserve"> UE</w:t>
      </w:r>
    </w:p>
    <w:tbl>
      <w:tblPr>
        <w:tblStyle w:val="64"/>
        <w:tblW w:w="8755" w:type="dxa"/>
        <w:jc w:val="center"/>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Align w:val="top"/>
          </w:tcPr>
          <w:p>
            <w:pPr>
              <w:pStyle w:val="199"/>
              <w:suppressLineNumbers w:val="0"/>
              <w:spacing w:beforeAutospacing="0" w:afterAutospacing="0"/>
              <w:ind w:left="0" w:right="0"/>
              <w:jc w:val="left"/>
              <w:rPr>
                <w:rFonts w:hint="default"/>
                <w:lang w:val="en-US" w:eastAsia="ko-KR"/>
              </w:rPr>
            </w:pPr>
            <w:r>
              <w:rPr>
                <w:rFonts w:hint="eastAsia" w:eastAsia="宋体"/>
                <w:lang w:val="en-US" w:eastAsia="zh-CN"/>
              </w:rPr>
              <w:t>Measurement gap pattern</w:t>
            </w:r>
            <w:r>
              <w:rPr>
                <w:rFonts w:hint="default"/>
                <w:lang w:val="en-US" w:eastAsia="ko-KR"/>
              </w:rPr>
              <w:t xml:space="preserve"> configuration</w:t>
            </w:r>
          </w:p>
        </w:tc>
        <w:tc>
          <w:tcPr>
            <w:tcW w:w="1986"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 xml:space="preserve">Serving cell </w:t>
            </w:r>
          </w:p>
        </w:tc>
        <w:tc>
          <w:tcPr>
            <w:tcW w:w="1765"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Measurement Purpose</w:t>
            </w:r>
          </w:p>
        </w:tc>
        <w:tc>
          <w:tcPr>
            <w:tcW w:w="3374"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Per-UE </w:t>
            </w:r>
            <w:r>
              <w:rPr>
                <w:rFonts w:hint="default" w:eastAsia="宋体"/>
                <w:snapToGrid w:val="0"/>
                <w:sz w:val="16"/>
                <w:szCs w:val="18"/>
                <w:lang w:val="en-GB" w:eastAsia="zh-CN"/>
              </w:rPr>
              <w:t>measurement</w:t>
            </w:r>
            <w:r>
              <w:rPr>
                <w:rFonts w:hint="eastAsia" w:eastAsia="宋体"/>
                <w:snapToGrid w:val="0"/>
                <w:sz w:val="16"/>
                <w:szCs w:val="18"/>
                <w:lang w:val="en-GB" w:eastAsia="zh-CN"/>
              </w:rPr>
              <w:t xml:space="preserve"> </w:t>
            </w:r>
            <w:r>
              <w:rPr>
                <w:rFonts w:hint="default"/>
                <w:snapToGrid w:val="0"/>
                <w:sz w:val="16"/>
                <w:szCs w:val="18"/>
                <w:lang w:val="en-GB" w:eastAsia="ko-KR"/>
              </w:rPr>
              <w:t>gap</w:t>
            </w:r>
          </w:p>
        </w:tc>
        <w:tc>
          <w:tcPr>
            <w:tcW w:w="1986"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FR1,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FR2,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 FR1 + FR2</w:t>
            </w: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r>
              <w:rPr>
                <w:rFonts w:hint="default"/>
                <w:sz w:val="16"/>
                <w:szCs w:val="18"/>
                <w:lang w:val="en-GB" w:eastAsia="ko-KR"/>
              </w:rPr>
              <w:t xml:space="preserve">FR1 and/or FR2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E-UTRAN and FR1 and/or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 FR </w:t>
            </w:r>
            <w:r>
              <w:rPr>
                <w:rFonts w:hint="eastAsia" w:eastAsia="宋体"/>
                <w:snapToGrid w:val="0"/>
                <w:sz w:val="16"/>
                <w:szCs w:val="18"/>
                <w:lang w:val="en-GB" w:eastAsia="zh-CN"/>
              </w:rPr>
              <w:t xml:space="preserve">measurement </w:t>
            </w:r>
            <w:r>
              <w:rPr>
                <w:rFonts w:hint="default"/>
                <w:snapToGrid w:val="0"/>
                <w:sz w:val="16"/>
                <w:szCs w:val="18"/>
                <w:lang w:val="en-GB" w:eastAsia="ko-KR"/>
              </w:rPr>
              <w:t>gap</w:t>
            </w: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FR1 only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and FR1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8755" w:type="dxa"/>
            <w:gridSpan w:val="4"/>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jc w:val="left"/>
              <w:textAlignment w:val="baseline"/>
              <w:outlineLvl w:val="9"/>
              <w:rPr>
                <w:rFonts w:hint="default" w:eastAsia="宋体"/>
                <w:i/>
                <w:sz w:val="16"/>
                <w:szCs w:val="18"/>
                <w:lang w:val="en-GB" w:eastAsia="zh-CN"/>
              </w:rPr>
            </w:pPr>
            <w:r>
              <w:rPr>
                <w:rFonts w:hint="default"/>
                <w:i/>
                <w:sz w:val="16"/>
                <w:szCs w:val="18"/>
                <w:lang w:val="en-GB" w:eastAsia="ko-KR"/>
              </w:rPr>
              <w:t>Note: if GSM or UTRA TDD or UTRA FDD inter-RAT frequency layer is configured to be monitered, only measurement gap pattern #0 and #1 can be used for per-FR gap in E-UTRA and FR1 if configured, or for per-UE gap.</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discussed in EN-DC scenario, for per-FR FR2 gap pattern(i.e. gap pattern 12~23), considering it only influence the scheduling of serving cell operating on FR2 frequency, and only SCG can be configured with FR2 frequency, so RAN2 concluded that FR2 gap should be configured by SN side, and UE calculates the FR2 gap position based on the timing reference of PSCell.</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vertAlign w:val="baseline"/>
          <w:lang w:val="en-US" w:eastAsia="zh-CN"/>
        </w:rPr>
      </w:pPr>
      <w:r>
        <w:rPr>
          <w:rFonts w:hint="eastAsia"/>
          <w:lang w:val="en-US" w:eastAsia="zh-CN"/>
        </w:rPr>
        <w:t>However in NE-DC, MN can operate on NR FR1 frequency or NR FR2 frequency or both FR1&amp;FR2 frequencies. So the benefit of configuring FR2 gap via SN node is not existed. The relation between gap pattern and scheduling impact is shown in the following table:</w:t>
      </w:r>
    </w:p>
    <w:tbl>
      <w:tblPr>
        <w:tblStyle w:val="65"/>
        <w:tblW w:w="7683" w:type="dxa"/>
        <w:jc w:val="center"/>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650"/>
        <w:gridCol w:w="1592"/>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Gap pattern</w:t>
            </w:r>
          </w:p>
        </w:tc>
        <w:tc>
          <w:tcPr>
            <w:tcW w:w="324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MN serving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SN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FR1 Cell(s)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FR2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LTE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Per-UE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LTE/FR1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FR2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can seen, irrespective of gap pattern, the scheduling of MN serving cell will be influenced, especially for FR2 gap, so it</w:t>
      </w:r>
      <w:r>
        <w:rPr>
          <w:rFonts w:hint="default"/>
          <w:lang w:val="en-US" w:eastAsia="zh-CN"/>
        </w:rPr>
        <w:t>’</w:t>
      </w:r>
      <w:r>
        <w:rPr>
          <w:rFonts w:hint="eastAsia"/>
          <w:lang w:val="en-US" w:eastAsia="zh-CN"/>
        </w:rPr>
        <w:t>s reasonable to let MN configure all gap patterns. And for per-UE gap and independent LTE/FR1 gap, MN should deliver the gap configuration to SN if gap is enabled.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the explicit indication of gap type(i.e. per-UE gap or per-FR1 gap), at least in Xn interface from MN to SN, it is not needed due to the scheduling of all LTE serving cells will be impacted. For Uu interface, UE needs to differentiate the per-UE gap and per-FR1 gap by the explicit indication from network, nevertheless, for FR2 gap, considering the particular MGL value range, then MN only need to indicate per-UE gap or per-FR gap type, UE can differentiate FR1 gap and FR2 gap by itself. So we propose: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numPr>
          <w:ilvl w:val="0"/>
          <w:numId w:val="6"/>
        </w:numPr>
        <w:rPr>
          <w:b/>
          <w:bCs/>
          <w:sz w:val="22"/>
          <w:szCs w:val="28"/>
          <w:u w:val="single"/>
        </w:rPr>
      </w:pPr>
      <w:r>
        <w:rPr>
          <w:rFonts w:hint="eastAsia"/>
          <w:b/>
          <w:bCs/>
          <w:sz w:val="22"/>
          <w:szCs w:val="28"/>
          <w:u w:val="single"/>
          <w:lang w:val="en-US" w:eastAsia="zh-CN"/>
        </w:rPr>
        <w:t>Gap coordination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If proposal 3 is adopted, the gap coordination is only needed when SN needs to configure gap assisted measurements, and SN has not already received a gap pattern from MN. However, different from EN-DC and NGEN-DC, for measuring on LTE frequencies, assistance information might not be needed due to the periodicity of CRS/PSS/SSS in LTE is fixed 5ms, additionally, gap pattern is decided by MN itself and MN is aware of the SMTC/CSI-RS configuration of each NR frequency.</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w:t>
      </w:r>
      <w:bookmarkStart w:id="2" w:name="_GoBack"/>
      <w:bookmarkEnd w:id="2"/>
      <w:r>
        <w:rPr>
          <w:rFonts w:hint="eastAsia"/>
          <w:b/>
          <w:lang w:val="en-US" w:eastAsia="zh-CN"/>
        </w:rPr>
        <w:t xml:space="preserve">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spacing w:before="156"/>
        <w:ind w:left="417" w:leftChars="0" w:hanging="417" w:hangingChars="199"/>
        <w:rPr>
          <w:rFonts w:hint="eastAsia"/>
          <w:lang w:val="en-US" w:eastAsia="zh-CN"/>
        </w:rPr>
      </w:pPr>
      <w:r>
        <w:rPr>
          <w:rFonts w:hint="eastAsia"/>
          <w:sz w:val="21"/>
          <w:szCs w:val="22"/>
          <w:lang w:val="en-US" w:eastAsia="zh-CN"/>
        </w:rPr>
        <w:t>[1]</w:t>
      </w:r>
      <w:r>
        <w:rPr>
          <w:rFonts w:hint="eastAsia"/>
          <w:sz w:val="21"/>
          <w:szCs w:val="22"/>
          <w:lang w:val="en-US" w:eastAsia="zh-CN"/>
        </w:rPr>
        <w:tab/>
      </w:r>
      <w:r>
        <w:rPr>
          <w:rFonts w:hint="eastAsia"/>
          <w:sz w:val="21"/>
          <w:szCs w:val="22"/>
          <w:lang w:val="en-US" w:eastAsia="zh-CN"/>
        </w:rPr>
        <w:t>R2-1801732 LS on measurement gap patterns</w:t>
      </w:r>
      <w:r>
        <w:rPr>
          <w:rFonts w:hint="eastAsia"/>
          <w:sz w:val="21"/>
          <w:szCs w:val="22"/>
          <w:lang w:val="en-US" w:eastAsia="zh-CN"/>
        </w:rPr>
        <w:tab/>
      </w:r>
      <w:r>
        <w:rPr>
          <w:rFonts w:hint="eastAsia"/>
          <w:sz w:val="21"/>
          <w:szCs w:val="22"/>
          <w:lang w:val="en-US" w:eastAsia="zh-CN"/>
        </w:rPr>
        <w:t>Source RAN4, To RAN2.</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C59EBA"/>
    <w:multiLevelType w:val="singleLevel"/>
    <w:tmpl w:val="BAC59EBA"/>
    <w:lvl w:ilvl="0" w:tentative="0">
      <w:start w:val="1"/>
      <w:numFmt w:val="bullet"/>
      <w:lvlText w:val="▪"/>
      <w:lvlJc w:val="left"/>
      <w:pPr>
        <w:ind w:left="420" w:leftChars="0" w:hanging="420" w:firstLineChars="0"/>
      </w:pPr>
      <w:rPr>
        <w:rFonts w:hint="default" w:ascii="Arial" w:hAnsi="Arial" w:cs="Arial"/>
      </w:rPr>
    </w:lvl>
  </w:abstractNum>
  <w:abstractNum w:abstractNumId="1">
    <w:nsid w:val="F661B40E"/>
    <w:multiLevelType w:val="singleLevel"/>
    <w:tmpl w:val="F661B40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43E8ED"/>
    <w:multiLevelType w:val="multilevel"/>
    <w:tmpl w:val="5D43E8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60EF8845"/>
    <w:multiLevelType w:val="singleLevel"/>
    <w:tmpl w:val="60EF8845"/>
    <w:lvl w:ilvl="0" w:tentative="0">
      <w:start w:val="1"/>
      <w:numFmt w:val="bullet"/>
      <w:lvlText w:val="▪"/>
      <w:lvlJc w:val="left"/>
      <w:pPr>
        <w:ind w:left="420" w:leftChars="0" w:hanging="420" w:firstLineChars="0"/>
      </w:pPr>
      <w:rPr>
        <w:rFonts w:hint="default" w:ascii="Arial" w:hAnsi="Arial" w:cs="Arial"/>
      </w:r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7B30"/>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5636D7"/>
    <w:rsid w:val="08B665B2"/>
    <w:rsid w:val="09F42949"/>
    <w:rsid w:val="0ADA27AB"/>
    <w:rsid w:val="0B233C4C"/>
    <w:rsid w:val="0C085429"/>
    <w:rsid w:val="0CB302D0"/>
    <w:rsid w:val="0CFF2AF0"/>
    <w:rsid w:val="0D9F789E"/>
    <w:rsid w:val="0E404148"/>
    <w:rsid w:val="0E6675E9"/>
    <w:rsid w:val="0F0670A0"/>
    <w:rsid w:val="0F117F9B"/>
    <w:rsid w:val="0F292443"/>
    <w:rsid w:val="10605775"/>
    <w:rsid w:val="10D00944"/>
    <w:rsid w:val="10E66856"/>
    <w:rsid w:val="121151DD"/>
    <w:rsid w:val="13917374"/>
    <w:rsid w:val="14562E10"/>
    <w:rsid w:val="148C2E3A"/>
    <w:rsid w:val="148D072E"/>
    <w:rsid w:val="15440243"/>
    <w:rsid w:val="154F0B44"/>
    <w:rsid w:val="155A6687"/>
    <w:rsid w:val="159B0B4F"/>
    <w:rsid w:val="159F10C6"/>
    <w:rsid w:val="15A16A04"/>
    <w:rsid w:val="16511444"/>
    <w:rsid w:val="1657778B"/>
    <w:rsid w:val="16FA3B1B"/>
    <w:rsid w:val="17AE3625"/>
    <w:rsid w:val="18690CFB"/>
    <w:rsid w:val="18925987"/>
    <w:rsid w:val="191B3FEB"/>
    <w:rsid w:val="19B84071"/>
    <w:rsid w:val="19D81B97"/>
    <w:rsid w:val="1B1962E0"/>
    <w:rsid w:val="1B6E36D8"/>
    <w:rsid w:val="1BFE2EE5"/>
    <w:rsid w:val="1C687840"/>
    <w:rsid w:val="1D60281E"/>
    <w:rsid w:val="1F7230F8"/>
    <w:rsid w:val="20582F06"/>
    <w:rsid w:val="211A1954"/>
    <w:rsid w:val="21627AA4"/>
    <w:rsid w:val="224061F6"/>
    <w:rsid w:val="225D0863"/>
    <w:rsid w:val="22787D6E"/>
    <w:rsid w:val="22AC71C4"/>
    <w:rsid w:val="234C36DC"/>
    <w:rsid w:val="23B63131"/>
    <w:rsid w:val="23CC2B77"/>
    <w:rsid w:val="242B5E7E"/>
    <w:rsid w:val="2451628F"/>
    <w:rsid w:val="247A650D"/>
    <w:rsid w:val="2542153C"/>
    <w:rsid w:val="255F1AC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B257241"/>
    <w:rsid w:val="2B6D766B"/>
    <w:rsid w:val="2BB820EE"/>
    <w:rsid w:val="2C1057E5"/>
    <w:rsid w:val="2CC87E6F"/>
    <w:rsid w:val="2CE60D81"/>
    <w:rsid w:val="2E9A0203"/>
    <w:rsid w:val="2E9C3162"/>
    <w:rsid w:val="2EAC79D3"/>
    <w:rsid w:val="2FA04582"/>
    <w:rsid w:val="2FA73BC2"/>
    <w:rsid w:val="2FE124C5"/>
    <w:rsid w:val="30906EDC"/>
    <w:rsid w:val="30BC181C"/>
    <w:rsid w:val="30D7158A"/>
    <w:rsid w:val="311C6F65"/>
    <w:rsid w:val="31F53C53"/>
    <w:rsid w:val="3274443B"/>
    <w:rsid w:val="333236C6"/>
    <w:rsid w:val="335D01AB"/>
    <w:rsid w:val="33CE46B3"/>
    <w:rsid w:val="34035E02"/>
    <w:rsid w:val="34164647"/>
    <w:rsid w:val="349C563D"/>
    <w:rsid w:val="351A3725"/>
    <w:rsid w:val="36314129"/>
    <w:rsid w:val="378E702D"/>
    <w:rsid w:val="37B164B2"/>
    <w:rsid w:val="37BD3193"/>
    <w:rsid w:val="37C65713"/>
    <w:rsid w:val="37E06357"/>
    <w:rsid w:val="38214920"/>
    <w:rsid w:val="383B10C1"/>
    <w:rsid w:val="38487BE4"/>
    <w:rsid w:val="38A103A0"/>
    <w:rsid w:val="38AA67C6"/>
    <w:rsid w:val="39807CC0"/>
    <w:rsid w:val="39D626D1"/>
    <w:rsid w:val="39F30B3F"/>
    <w:rsid w:val="3A28062C"/>
    <w:rsid w:val="3B2F0F23"/>
    <w:rsid w:val="3B360523"/>
    <w:rsid w:val="3CD8299C"/>
    <w:rsid w:val="3D7D6E14"/>
    <w:rsid w:val="3DCF2E0D"/>
    <w:rsid w:val="3DF07251"/>
    <w:rsid w:val="3F22265A"/>
    <w:rsid w:val="3F5E685A"/>
    <w:rsid w:val="3F6716E0"/>
    <w:rsid w:val="3F6F3D8F"/>
    <w:rsid w:val="3F751146"/>
    <w:rsid w:val="403409ED"/>
    <w:rsid w:val="413A1483"/>
    <w:rsid w:val="43075B38"/>
    <w:rsid w:val="432C35DA"/>
    <w:rsid w:val="43410D92"/>
    <w:rsid w:val="444F0F50"/>
    <w:rsid w:val="445F34EB"/>
    <w:rsid w:val="44807771"/>
    <w:rsid w:val="44C70D28"/>
    <w:rsid w:val="44CA5ED0"/>
    <w:rsid w:val="44F84F89"/>
    <w:rsid w:val="464C7438"/>
    <w:rsid w:val="465002DF"/>
    <w:rsid w:val="47BA7497"/>
    <w:rsid w:val="47C90932"/>
    <w:rsid w:val="47CC43E5"/>
    <w:rsid w:val="48A615D1"/>
    <w:rsid w:val="49E06BA9"/>
    <w:rsid w:val="4AF063BB"/>
    <w:rsid w:val="4B03481E"/>
    <w:rsid w:val="4B1F4A36"/>
    <w:rsid w:val="4B26478F"/>
    <w:rsid w:val="4C1C482A"/>
    <w:rsid w:val="4CCE58DF"/>
    <w:rsid w:val="4D833BDD"/>
    <w:rsid w:val="4D9133D7"/>
    <w:rsid w:val="4DA259C6"/>
    <w:rsid w:val="4E3432B0"/>
    <w:rsid w:val="4F32192C"/>
    <w:rsid w:val="4F5D1159"/>
    <w:rsid w:val="4F6911F6"/>
    <w:rsid w:val="4F6B5B31"/>
    <w:rsid w:val="4FAF6B6E"/>
    <w:rsid w:val="4FC00B3B"/>
    <w:rsid w:val="505D60F8"/>
    <w:rsid w:val="509E51F9"/>
    <w:rsid w:val="50DC5240"/>
    <w:rsid w:val="513A38F8"/>
    <w:rsid w:val="52F62B34"/>
    <w:rsid w:val="53785995"/>
    <w:rsid w:val="541344B2"/>
    <w:rsid w:val="555F2D5C"/>
    <w:rsid w:val="55707D6E"/>
    <w:rsid w:val="56570DDF"/>
    <w:rsid w:val="56661008"/>
    <w:rsid w:val="567224AC"/>
    <w:rsid w:val="56D415F4"/>
    <w:rsid w:val="57006206"/>
    <w:rsid w:val="572B6F10"/>
    <w:rsid w:val="58220522"/>
    <w:rsid w:val="59463280"/>
    <w:rsid w:val="598F4BEC"/>
    <w:rsid w:val="599D4276"/>
    <w:rsid w:val="59F41719"/>
    <w:rsid w:val="5A546117"/>
    <w:rsid w:val="5A914854"/>
    <w:rsid w:val="5BAC7B59"/>
    <w:rsid w:val="5CC919BB"/>
    <w:rsid w:val="5CED0D30"/>
    <w:rsid w:val="5D53372E"/>
    <w:rsid w:val="5F0C6BCE"/>
    <w:rsid w:val="60C36051"/>
    <w:rsid w:val="61084ACE"/>
    <w:rsid w:val="610C0BFA"/>
    <w:rsid w:val="61223799"/>
    <w:rsid w:val="61B16FCC"/>
    <w:rsid w:val="624124FD"/>
    <w:rsid w:val="62B54036"/>
    <w:rsid w:val="63CB5BC3"/>
    <w:rsid w:val="642B07CD"/>
    <w:rsid w:val="64E50EAD"/>
    <w:rsid w:val="65984F3F"/>
    <w:rsid w:val="659D6455"/>
    <w:rsid w:val="659E3CB8"/>
    <w:rsid w:val="65D64587"/>
    <w:rsid w:val="65F73C65"/>
    <w:rsid w:val="66175F6C"/>
    <w:rsid w:val="668F2C57"/>
    <w:rsid w:val="6694541D"/>
    <w:rsid w:val="66A10B7C"/>
    <w:rsid w:val="66A13D5F"/>
    <w:rsid w:val="66D400FB"/>
    <w:rsid w:val="67655F5B"/>
    <w:rsid w:val="676F688E"/>
    <w:rsid w:val="68F93924"/>
    <w:rsid w:val="69514322"/>
    <w:rsid w:val="69652E42"/>
    <w:rsid w:val="69797C2C"/>
    <w:rsid w:val="6A2D32EF"/>
    <w:rsid w:val="6A667D8E"/>
    <w:rsid w:val="6B095FA5"/>
    <w:rsid w:val="6B5758E6"/>
    <w:rsid w:val="6C2402AE"/>
    <w:rsid w:val="6C272137"/>
    <w:rsid w:val="6C942EBD"/>
    <w:rsid w:val="6CA14A31"/>
    <w:rsid w:val="6CA73C88"/>
    <w:rsid w:val="6CA87341"/>
    <w:rsid w:val="6CD616AD"/>
    <w:rsid w:val="6D1B16C6"/>
    <w:rsid w:val="6D624BE1"/>
    <w:rsid w:val="6D9073F1"/>
    <w:rsid w:val="6E6A6492"/>
    <w:rsid w:val="6E7865D1"/>
    <w:rsid w:val="6F3B2CE7"/>
    <w:rsid w:val="6F424DC6"/>
    <w:rsid w:val="70772371"/>
    <w:rsid w:val="708F0DF2"/>
    <w:rsid w:val="70B268B6"/>
    <w:rsid w:val="70B646BA"/>
    <w:rsid w:val="70F424CE"/>
    <w:rsid w:val="71A04715"/>
    <w:rsid w:val="71CA7258"/>
    <w:rsid w:val="71D52274"/>
    <w:rsid w:val="71DA4E05"/>
    <w:rsid w:val="71E47FB5"/>
    <w:rsid w:val="72BF5DEB"/>
    <w:rsid w:val="735F52EF"/>
    <w:rsid w:val="738D7669"/>
    <w:rsid w:val="73C86FC2"/>
    <w:rsid w:val="750B18BC"/>
    <w:rsid w:val="75133F36"/>
    <w:rsid w:val="75605A52"/>
    <w:rsid w:val="759A5A96"/>
    <w:rsid w:val="761E6675"/>
    <w:rsid w:val="76347E8A"/>
    <w:rsid w:val="76461F12"/>
    <w:rsid w:val="765014FD"/>
    <w:rsid w:val="7696035D"/>
    <w:rsid w:val="779C2984"/>
    <w:rsid w:val="77AD4F77"/>
    <w:rsid w:val="78104F0E"/>
    <w:rsid w:val="7885108A"/>
    <w:rsid w:val="79B652AC"/>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2018-05-10T12:20:18Z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